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00"/>
      </w:pPr>
      <w:r>
        <w:rPr>
          <w:rFonts w:ascii="Calibri" w:cs="Calibri" w:eastAsia="Calibri" w:hAnsi="Calibri"/>
        </w:rPr>
        <w:t xml:space="preserve">Musterlösung (Lösungsstation)</w:t>
      </w:r>
    </w:p>
    <w:p>
      <w:pPr>
        <w:pStyle w:val="Heading2"/>
        <w:spacing w:after="100" w:before="200"/>
      </w:pPr>
      <w:r>
        <w:rPr>
          <w:rFonts w:ascii="Calibri" w:cs="Calibri" w:eastAsia="Calibri" w:hAnsi="Calibri"/>
        </w:rPr>
        <w:t xml:space="preserve">A1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5638"/>
      </w:tblGrid>
      <w:tr>
        <w:tc>
          <w:tcPr>
            <w:tcW w:type="dxa" w:w="2200"/>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Datum</w:t>
            </w:r>
          </w:p>
        </w:tc>
        <w:tc>
          <w:tcPr>
            <w:tcW w:type="dxa" w:w="1800"/>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Land</w:t>
            </w:r>
          </w:p>
        </w:tc>
        <w:tc>
          <w:tcPr>
            <w:tcW w:type="dxa" w:w="5638"/>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Ereignis</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1945</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Osteuropa</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Beginn der sowjetischen Einflusszone</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1953</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UdSSR</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Stalins Tod</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17. Juni 1953</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DDR</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Volksaufstand, von sowjetischen Panzern niedergeschlagen</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1955</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Osteuropa</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Gründung des Warschauer Paktes</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Okt./Nov. 1956</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Ungarn</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Volksaufstand, Einmarsch der Roten Armee</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21. Aug. 1968</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ČSSR</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Einmarsch des Warschauer Paktes</w:t>
            </w:r>
          </w:p>
        </w:tc>
      </w:tr>
      <w:tr>
        <w:tc>
          <w:tcPr>
            <w:tcW w:type="dxa" w:w="22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1980</w:t>
            </w:r>
          </w:p>
        </w:tc>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Polen</w:t>
            </w:r>
          </w:p>
        </w:tc>
        <w:tc>
          <w:tcPr>
            <w:tcW w:type="dxa" w:w="5638"/>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Solidarność (Ausblick)</w:t>
            </w:r>
          </w:p>
        </w:tc>
      </w:tr>
    </w:tbl>
    <w:p>
      <w:pPr>
        <w:pStyle w:val="Heading2"/>
        <w:spacing w:after="100" w:before="200"/>
      </w:pPr>
      <w:r>
        <w:rPr>
          <w:rFonts w:ascii="Calibri" w:cs="Calibri" w:eastAsia="Calibri" w:hAnsi="Calibri"/>
        </w:rPr>
        <w:t xml:space="preserve">A2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2612"/>
        <w:gridCol w:w="2613"/>
        <w:gridCol w:w="2613"/>
      </w:tblGrid>
      <w:tr>
        <w:tc>
          <w:tcPr>
            <w:tcW w:type="dxa" w:w="1800"/>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
            </w:r>
          </w:p>
        </w:tc>
        <w:tc>
          <w:tcPr>
            <w:tcW w:type="dxa" w:w="2612"/>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DDR 1953</w:t>
            </w:r>
          </w:p>
        </w:tc>
        <w:tc>
          <w:tcPr>
            <w:tcW w:type="dxa" w:w="2613"/>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Ungarn 1956</w:t>
            </w:r>
          </w:p>
        </w:tc>
        <w:tc>
          <w:tcPr>
            <w:tcW w:type="dxa" w:w="2613"/>
            <w:tcBorders>
              <w:top w:val="single" w:color="999999" w:sz="4"/>
              <w:left w:val="single" w:color="999999" w:sz="4"/>
              <w:bottom w:val="single" w:color="999999" w:sz="4"/>
              <w:right w:val="single" w:color="999999" w:sz="4"/>
            </w:tcBorders>
            <w:shd w:fill="DDE3EE" w:color="auto" w:val="clear"/>
            <w:tcMar>
              <w:top w:type="dxa" w:w="60"/>
              <w:left w:type="dxa" w:w="100"/>
              <w:bottom w:type="dxa" w:w="60"/>
              <w:right w:type="dxa" w:w="100"/>
            </w:tcMar>
          </w:tcPr>
          <w:p>
            <w:r>
              <w:rPr>
                <w:rFonts w:ascii="Calibri" w:cs="Calibri" w:eastAsia="Calibri" w:hAnsi="Calibri"/>
                <w:b/>
                <w:bCs/>
                <w:sz w:val="20"/>
                <w:szCs w:val="20"/>
              </w:rPr>
              <w:t xml:space="preserve">ČSSR 1968</w:t>
            </w:r>
          </w:p>
        </w:tc>
      </w:tr>
      <w:tr>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Auslöser</w:t>
            </w:r>
          </w:p>
        </w:tc>
        <w:tc>
          <w:tcPr>
            <w:tcW w:type="dxa" w:w="261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höhere Arbeitsnormen</w:t>
            </w:r>
          </w:p>
        </w:tc>
        <w:tc>
          <w:tcPr>
            <w:tcW w:type="dxa" w:w="261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Studentenproteste, Hoffnung auf Lockerung</w:t>
            </w:r>
          </w:p>
        </w:tc>
        <w:tc>
          <w:tcPr>
            <w:tcW w:type="dxa" w:w="261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Reformkurs Dubček</w:t>
            </w:r>
          </w:p>
        </w:tc>
      </w:tr>
      <w:tr>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Forderungen</w:t>
            </w:r>
          </w:p>
        </w:tc>
        <w:tc>
          <w:tcPr>
            <w:tcW w:type="dxa" w:w="261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Normen zurück, Rücktritt, freie Wahlen</w:t>
            </w:r>
          </w:p>
        </w:tc>
        <w:tc>
          <w:tcPr>
            <w:tcW w:type="dxa" w:w="261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freie Wahlen, Austritt aus dem Warschauer Pakt</w:t>
            </w:r>
          </w:p>
        </w:tc>
        <w:tc>
          <w:tcPr>
            <w:tcW w:type="dxa" w:w="261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Meinungsfreiheit, weniger Zensur</w:t>
            </w:r>
          </w:p>
        </w:tc>
      </w:tr>
      <w:tr>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Reaktion der UdSSR</w:t>
            </w:r>
          </w:p>
        </w:tc>
        <w:tc>
          <w:tcPr>
            <w:tcW w:type="dxa" w:w="261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sowjetische Panzer</w:t>
            </w:r>
          </w:p>
        </w:tc>
        <w:tc>
          <w:tcPr>
            <w:tcW w:type="dxa" w:w="261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Einmarsch der Roten Armee</w:t>
            </w:r>
          </w:p>
        </w:tc>
        <w:tc>
          <w:tcPr>
            <w:tcW w:type="dxa" w:w="261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Besetzung durch Warschauer Pakt</w:t>
            </w:r>
          </w:p>
        </w:tc>
      </w:tr>
      <w:tr>
        <w:tc>
          <w:tcPr>
            <w:tcW w:type="dxa" w:w="1800"/>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Folgen</w:t>
            </w:r>
          </w:p>
        </w:tc>
        <w:tc>
          <w:tcPr>
            <w:tcW w:type="dxa" w:w="2612"/>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Tote, Verhaftungen</w:t>
            </w:r>
          </w:p>
        </w:tc>
        <w:tc>
          <w:tcPr>
            <w:tcW w:type="dxa" w:w="261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Tausende Tote, ca. 200.000 Flüchtlinge, Nagy hingerichtet</w:t>
            </w:r>
          </w:p>
        </w:tc>
        <w:tc>
          <w:tcPr>
            <w:tcW w:type="dxa" w:w="2613"/>
            <w:tcBorders>
              <w:top w:val="single" w:color="999999" w:sz="4"/>
              <w:left w:val="single" w:color="999999" w:sz="4"/>
              <w:bottom w:val="single" w:color="999999" w:sz="4"/>
              <w:right w:val="single" w:color="999999" w:sz="4"/>
            </w:tcBorders>
            <w:tcMar>
              <w:top w:type="dxa" w:w="60"/>
              <w:left w:type="dxa" w:w="100"/>
              <w:bottom w:type="dxa" w:w="60"/>
              <w:right w:type="dxa" w:w="100"/>
            </w:tcMar>
          </w:tcPr>
          <w:p>
            <w:r>
              <w:rPr>
                <w:rFonts w:ascii="Calibri" w:cs="Calibri" w:eastAsia="Calibri" w:hAnsi="Calibri"/>
                <w:b w:val="false"/>
                <w:bCs w:val="false"/>
                <w:sz w:val="20"/>
                <w:szCs w:val="20"/>
              </w:rPr>
              <w:t xml:space="preserve">Reformen beendet, Dubček entmachtet</w:t>
            </w:r>
          </w:p>
        </w:tc>
      </w:tr>
    </w:tbl>
    <w:p>
      <w:pPr>
        <w:spacing w:after="100"/>
      </w:pPr>
      <w:r>
        <w:rPr>
          <w:rFonts w:ascii="Calibri" w:cs="Calibri" w:eastAsia="Calibri" w:hAnsi="Calibri"/>
          <w:sz w:val="22"/>
          <w:szCs w:val="22"/>
        </w:rPr>
        <w:t xml:space="preserve"/>
      </w:r>
    </w:p>
    <w:p>
      <w:pPr>
        <w:spacing w:after="100"/>
      </w:pPr>
      <w:r>
        <w:rPr>
          <w:rFonts w:ascii="Calibri" w:cs="Calibri" w:eastAsia="Calibri" w:hAnsi="Calibri"/>
          <w:sz w:val="22"/>
          <w:szCs w:val="22"/>
        </w:rPr>
        <w:t xml:space="preserve">Gemeinsamkeit: Jedes Mal sicherte die Sowjetunion ihre Vorherrschaft mit militärischer Gewalt. Ein eigener Weg wurde nicht geduldet.</w:t>
      </w:r>
    </w:p>
    <w:p>
      <w:pPr>
        <w:pStyle w:val="Heading2"/>
        <w:spacing w:after="100" w:before="200"/>
      </w:pPr>
      <w:r>
        <w:rPr>
          <w:rFonts w:ascii="Calibri" w:cs="Calibri" w:eastAsia="Calibri" w:hAnsi="Calibri"/>
        </w:rPr>
        <w:t xml:space="preserve">A3</w:t>
      </w:r>
    </w:p>
    <w:p>
      <w:pPr>
        <w:spacing w:after="100"/>
      </w:pPr>
      <w:r>
        <w:rPr>
          <w:rFonts w:ascii="Calibri" w:cs="Calibri" w:eastAsia="Calibri" w:hAnsi="Calibri"/>
          <w:sz w:val="22"/>
          <w:szCs w:val="22"/>
        </w:rPr>
        <w:t xml:space="preserve">Die UdSSR darf eingreifen, wenn sie den Sozialismus in einem Bündnisstaat bedroht sieht (begrenzte Souveränität). Aus Moskaus Sicht nötig, um Macht und Bündnis zu sichern: Sorge vor einem Dominoeffekt und vor dem Verlust des Sicherheitsgürtels gegenüber dem Westen.</w:t>
      </w:r>
    </w:p>
    <w:p>
      <w:pPr>
        <w:pStyle w:val="Heading2"/>
        <w:spacing w:after="100" w:before="200"/>
      </w:pPr>
      <w:r>
        <w:rPr>
          <w:rFonts w:ascii="Calibri" w:cs="Calibri" w:eastAsia="Calibri" w:hAnsi="Calibri"/>
        </w:rPr>
        <w:t xml:space="preserve">A4</w:t>
      </w:r>
    </w:p>
    <w:p>
      <w:pPr>
        <w:spacing w:after="100"/>
      </w:pPr>
      <w:r>
        <w:rPr>
          <w:rFonts w:ascii="Calibri" w:cs="Calibri" w:eastAsia="Calibri" w:hAnsi="Calibri"/>
          <w:sz w:val="22"/>
          <w:szCs w:val="22"/>
        </w:rPr>
        <w:t xml:space="preserve">Ein Eingreifen hätte zum direkten Krieg der atomar bewaffneten Supermächte führen können. Der Westen verurteilte die Gewalt, akzeptierte aber die Einflusszonen. Der Kalte Krieg war von der Angst vor atomarer Eskalation bestimmt.</w:t>
      </w:r>
    </w:p>
    <w:p>
      <w:pPr>
        <w:pStyle w:val="Heading2"/>
        <w:spacing w:after="100" w:before="200"/>
      </w:pPr>
      <w:r>
        <w:rPr>
          <w:rFonts w:ascii="Calibri" w:cs="Calibri" w:eastAsia="Calibri" w:hAnsi="Calibri"/>
        </w:rPr>
        <w:t xml:space="preserve">Z (Erwartungshorizont)</w:t>
      </w:r>
    </w:p>
    <w:p>
      <w:pPr>
        <w:pStyle w:val="ListParagraph"/>
        <w:numPr>
          <w:ilvl w:val="0"/>
          <w:numId w:val="2"/>
        </w:numPr>
        <w:spacing w:after="60"/>
      </w:pPr>
      <w:r>
        <w:rPr>
          <w:rFonts w:ascii="Calibri" w:cs="Calibri" w:eastAsia="Calibri" w:hAnsi="Calibri"/>
          <w:sz w:val="22"/>
          <w:szCs w:val="22"/>
        </w:rPr>
        <w:t xml:space="preserve">Beispiele: Russland und Ukraine (Krieg seit 2022), Belarus (Proteste 2020).</w:t>
      </w:r>
    </w:p>
    <w:p>
      <w:pPr>
        <w:pStyle w:val="ListParagraph"/>
        <w:numPr>
          <w:ilvl w:val="0"/>
          <w:numId w:val="2"/>
        </w:numPr>
        <w:spacing w:after="60"/>
      </w:pPr>
      <w:r>
        <w:rPr>
          <w:rFonts w:ascii="Calibri" w:cs="Calibri" w:eastAsia="Calibri" w:hAnsi="Calibri"/>
          <w:sz w:val="22"/>
          <w:szCs w:val="22"/>
        </w:rPr>
        <w:t xml:space="preserve">Parallelen: Anspruch auf Einflusszone, Gewalt gegen Freiheitsbewegungen.</w:t>
      </w:r>
    </w:p>
    <w:p>
      <w:pPr>
        <w:pStyle w:val="ListParagraph"/>
        <w:numPr>
          <w:ilvl w:val="0"/>
          <w:numId w:val="2"/>
        </w:numPr>
        <w:spacing w:after="60"/>
      </w:pPr>
      <w:r>
        <w:rPr>
          <w:rFonts w:ascii="Calibri" w:cs="Calibri" w:eastAsia="Calibri" w:hAnsi="Calibri"/>
          <w:sz w:val="22"/>
          <w:szCs w:val="22"/>
        </w:rPr>
        <w:t xml:space="preserve">Unterschiede: keine festen Blöcke, Unterstützung der Ukraine durch den Westen, soziale Medien.</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2A44"/>
      <w:sz w:val="34"/>
      <w:szCs w:val="34"/>
    </w:rPr>
  </w:style>
  <w:style w:type="paragraph" w:styleId="Heading2">
    <w:name w:val="Heading 2"/>
    <w:basedOn w:val="Normal"/>
    <w:next w:val="Normal"/>
    <w:qFormat/>
    <w:pPr>
      <w:outlineLvl w:val="1"/>
    </w:pPr>
    <w:rPr>
      <w:rFonts w:ascii="Calibri" w:cs="Calibri" w:eastAsia="Calibri" w:hAnsi="Calibri"/>
      <w:b/>
      <w:bCs/>
      <w:color w:val="1F2A44"/>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2026-10-01T17:32:01.008Z</dcterms:created>
  <dcterms:modified xsi:type="dcterms:W3CDTF">2026-10-01T17:32:01.008Z</dcterms:modified>
</cp:coreProperties>
</file>

<file path=docProps/custom.xml><?xml version="1.0" encoding="utf-8"?>
<Properties xmlns="http://schemas.openxmlformats.org/officeDocument/2006/custom-properties" xmlns:vt="http://schemas.openxmlformats.org/officeDocument/2006/docPropsVTypes"/>
</file>